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B3FF" w14:textId="77777777" w:rsidR="00D11AF7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国家标准《</w:t>
      </w:r>
      <w:r>
        <w:rPr>
          <w:rFonts w:ascii="宋体" w:hAnsi="宋体" w:hint="eastAsia"/>
          <w:b/>
          <w:bCs/>
          <w:sz w:val="32"/>
          <w:szCs w:val="32"/>
        </w:rPr>
        <w:t>工业直链烷基苯磺酸</w:t>
      </w:r>
      <w:r>
        <w:rPr>
          <w:rFonts w:hint="eastAsia"/>
          <w:b/>
          <w:sz w:val="32"/>
          <w:szCs w:val="32"/>
        </w:rPr>
        <w:t>》编制说明</w:t>
      </w:r>
    </w:p>
    <w:p w14:paraId="7C841839" w14:textId="77777777" w:rsidR="00D11AF7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（征求意见稿）</w:t>
      </w:r>
    </w:p>
    <w:p w14:paraId="72A233B2" w14:textId="77777777" w:rsidR="00D11AF7" w:rsidRDefault="00000000">
      <w:pPr>
        <w:pStyle w:val="1"/>
        <w:numPr>
          <w:ilvl w:val="0"/>
          <w:numId w:val="1"/>
        </w:numPr>
        <w:spacing w:line="240" w:lineRule="auto"/>
        <w:rPr>
          <w:b/>
          <w:bCs w:val="0"/>
          <w:sz w:val="21"/>
          <w:szCs w:val="21"/>
        </w:rPr>
      </w:pPr>
      <w:r>
        <w:rPr>
          <w:rFonts w:hint="eastAsia"/>
          <w:b/>
          <w:bCs w:val="0"/>
          <w:sz w:val="21"/>
          <w:szCs w:val="21"/>
        </w:rPr>
        <w:t>工作概况</w:t>
      </w:r>
    </w:p>
    <w:p w14:paraId="53A63092" w14:textId="77777777" w:rsidR="00D11AF7" w:rsidRDefault="00000000">
      <w:pPr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、任务来源</w:t>
      </w:r>
    </w:p>
    <w:p w14:paraId="29A22316" w14:textId="4C47C65D" w:rsidR="00D11AF7" w:rsidRDefault="00000000">
      <w:pPr>
        <w:ind w:firstLineChars="175" w:firstLine="368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本项目是国家标准化管理委员会</w:t>
      </w:r>
      <w:r>
        <w:rPr>
          <w:rFonts w:hAnsi="宋体" w:hint="eastAsia"/>
          <w:szCs w:val="21"/>
        </w:rPr>
        <w:t>2</w:t>
      </w:r>
      <w:r>
        <w:rPr>
          <w:rFonts w:hAnsi="宋体"/>
          <w:szCs w:val="21"/>
        </w:rPr>
        <w:t>0</w:t>
      </w:r>
      <w:r>
        <w:rPr>
          <w:rFonts w:hAnsi="宋体" w:hint="eastAsia"/>
          <w:szCs w:val="21"/>
        </w:rPr>
        <w:t>25</w:t>
      </w:r>
      <w:r>
        <w:rPr>
          <w:rFonts w:hAnsi="宋体" w:hint="eastAsia"/>
          <w:szCs w:val="21"/>
        </w:rPr>
        <w:t>年国家标准制修订项目，计划编号为</w:t>
      </w:r>
      <w:r>
        <w:rPr>
          <w:rFonts w:hAnsi="宋体"/>
          <w:szCs w:val="21"/>
        </w:rPr>
        <w:t>202</w:t>
      </w:r>
      <w:r>
        <w:rPr>
          <w:rFonts w:hAnsi="宋体" w:hint="eastAsia"/>
          <w:szCs w:val="21"/>
        </w:rPr>
        <w:t>50354</w:t>
      </w:r>
      <w:r>
        <w:rPr>
          <w:rFonts w:hAnsi="宋体"/>
          <w:szCs w:val="21"/>
        </w:rPr>
        <w:t>-T-607</w:t>
      </w:r>
      <w:r>
        <w:rPr>
          <w:rFonts w:hAnsi="宋体" w:hint="eastAsia"/>
          <w:szCs w:val="21"/>
        </w:rPr>
        <w:t>，项目名称《工业直链烷基苯磺酸》，修订</w:t>
      </w:r>
      <w:r>
        <w:rPr>
          <w:rFonts w:hint="eastAsia"/>
          <w:szCs w:val="21"/>
        </w:rPr>
        <w:t>GB/T 8447-2008</w:t>
      </w:r>
      <w:r>
        <w:rPr>
          <w:rFonts w:hAnsi="宋体" w:hint="eastAsia"/>
          <w:szCs w:val="21"/>
        </w:rPr>
        <w:t>《工业直链烷基苯磺酸》</w:t>
      </w:r>
      <w:r w:rsidR="00F40F42"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>项目实施周期</w:t>
      </w:r>
      <w:r>
        <w:rPr>
          <w:rFonts w:hAnsi="宋体" w:hint="eastAsia"/>
          <w:szCs w:val="21"/>
        </w:rPr>
        <w:t>16</w:t>
      </w:r>
      <w:r>
        <w:rPr>
          <w:rFonts w:hAnsi="宋体" w:hint="eastAsia"/>
          <w:szCs w:val="21"/>
        </w:rPr>
        <w:t>个月。</w:t>
      </w:r>
    </w:p>
    <w:p w14:paraId="4C28D8DC" w14:textId="77777777" w:rsidR="00D11AF7" w:rsidRDefault="00000000">
      <w:pPr>
        <w:numPr>
          <w:ilvl w:val="0"/>
          <w:numId w:val="2"/>
        </w:numPr>
        <w:rPr>
          <w:rFonts w:hAnsi="宋体" w:hint="eastAsia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主要工作过程</w:t>
      </w:r>
    </w:p>
    <w:p w14:paraId="56144FE7" w14:textId="77777777" w:rsidR="00D11AF7" w:rsidRDefault="00000000">
      <w:pPr>
        <w:ind w:firstLineChars="200" w:firstLine="422"/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起草阶段：</w:t>
      </w:r>
    </w:p>
    <w:p w14:paraId="644A44E8" w14:textId="77777777" w:rsidR="00D11AF7" w:rsidRDefault="00000000">
      <w:pPr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项目下达后，标委会秘书处组织参加起草单位成立标准制定工作组，对当前</w:t>
      </w:r>
      <w:r>
        <w:rPr>
          <w:rFonts w:hint="eastAsia"/>
        </w:rPr>
        <w:t>工业直链烷基苯磺酸的测定</w:t>
      </w:r>
      <w:r>
        <w:rPr>
          <w:rFonts w:ascii="宋体" w:hAnsi="宋体" w:hint="eastAsia"/>
        </w:rPr>
        <w:t>进行了调研，并且检索了国内外技术资料。在此基础上编制出《</w:t>
      </w:r>
      <w:r>
        <w:rPr>
          <w:rFonts w:hint="eastAsia"/>
        </w:rPr>
        <w:t>工业直链烷基苯磺酸</w:t>
      </w:r>
      <w:r>
        <w:rPr>
          <w:rFonts w:ascii="宋体" w:hAnsi="宋体" w:hint="eastAsia"/>
        </w:rPr>
        <w:t>》标准征求意见稿，报标委会秘书处。</w:t>
      </w:r>
    </w:p>
    <w:p w14:paraId="10425904" w14:textId="77777777" w:rsidR="00D11AF7" w:rsidRDefault="00000000">
      <w:pPr>
        <w:ind w:leftChars="1" w:left="2" w:firstLineChars="200" w:firstLine="422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征求意见阶段：</w:t>
      </w:r>
    </w:p>
    <w:p w14:paraId="5C5DB509" w14:textId="77777777" w:rsidR="00D11AF7" w:rsidRDefault="00D11AF7">
      <w:pPr>
        <w:ind w:leftChars="1" w:left="2" w:firstLine="420"/>
        <w:rPr>
          <w:rFonts w:ascii="宋体" w:hAnsi="宋体" w:hint="eastAsia"/>
          <w:szCs w:val="21"/>
        </w:rPr>
      </w:pPr>
    </w:p>
    <w:p w14:paraId="11F6F828" w14:textId="77777777" w:rsidR="00D11AF7" w:rsidRDefault="00D11AF7">
      <w:pPr>
        <w:ind w:leftChars="1" w:left="2" w:firstLine="420"/>
        <w:rPr>
          <w:rFonts w:ascii="宋体" w:hAnsi="宋体" w:hint="eastAsia"/>
        </w:rPr>
      </w:pPr>
    </w:p>
    <w:p w14:paraId="4A9AE0DC" w14:textId="77777777" w:rsidR="00D11AF7" w:rsidRDefault="00000000">
      <w:pPr>
        <w:ind w:leftChars="1" w:left="2" w:firstLineChars="200" w:firstLine="422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审查阶段：</w:t>
      </w:r>
    </w:p>
    <w:p w14:paraId="32B138F5" w14:textId="77777777" w:rsidR="00D11AF7" w:rsidRDefault="00D11AF7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53E2CB18" w14:textId="77777777" w:rsidR="00D11AF7" w:rsidRDefault="00D11AF7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3E964B7C" w14:textId="77777777" w:rsidR="00D11AF7" w:rsidRDefault="00D11AF7">
      <w:pPr>
        <w:ind w:leftChars="1" w:left="2" w:firstLineChars="200" w:firstLine="420"/>
        <w:rPr>
          <w:rFonts w:hAnsi="宋体" w:hint="eastAsia"/>
        </w:rPr>
      </w:pPr>
    </w:p>
    <w:p w14:paraId="26DA9FE0" w14:textId="77777777" w:rsidR="00D11AF7" w:rsidRDefault="00000000">
      <w:pPr>
        <w:ind w:leftChars="1" w:left="2"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</w:rPr>
        <w:t>报批阶段：</w:t>
      </w:r>
    </w:p>
    <w:p w14:paraId="2C342752" w14:textId="77777777" w:rsidR="00D11AF7" w:rsidRDefault="00D11AF7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67D5518C" w14:textId="77777777" w:rsidR="00D11AF7" w:rsidRDefault="00D11AF7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7DA6631D" w14:textId="77777777" w:rsidR="00D11AF7" w:rsidRDefault="00000000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3、主要参加单位和工作组成员及其所作的工作</w:t>
      </w:r>
    </w:p>
    <w:p w14:paraId="73354804" w14:textId="77777777" w:rsidR="00D11AF7" w:rsidRDefault="00D11AF7">
      <w:pPr>
        <w:ind w:firstLineChars="200" w:firstLine="420"/>
        <w:rPr>
          <w:rFonts w:ascii="宋体" w:hAnsi="宋体" w:hint="eastAsia"/>
        </w:rPr>
      </w:pPr>
    </w:p>
    <w:p w14:paraId="5E18C4A7" w14:textId="77777777" w:rsidR="00D11AF7" w:rsidRDefault="00D11AF7">
      <w:pPr>
        <w:ind w:firstLineChars="200" w:firstLine="420"/>
        <w:rPr>
          <w:rFonts w:ascii="宋体" w:hAnsi="宋体" w:hint="eastAsia"/>
        </w:rPr>
      </w:pPr>
    </w:p>
    <w:p w14:paraId="773D169A" w14:textId="77777777" w:rsidR="00D11AF7" w:rsidRDefault="00D11AF7">
      <w:pPr>
        <w:ind w:firstLineChars="200" w:firstLine="420"/>
        <w:rPr>
          <w:rFonts w:hAnsi="宋体" w:hint="eastAsia"/>
          <w:color w:val="C00000"/>
          <w:szCs w:val="21"/>
        </w:rPr>
      </w:pPr>
    </w:p>
    <w:p w14:paraId="7D990D46" w14:textId="77777777" w:rsidR="00D11AF7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标准编制原则和主要内容</w:t>
      </w:r>
    </w:p>
    <w:p w14:paraId="739F3608" w14:textId="77777777" w:rsidR="00D11AF7" w:rsidRDefault="00000000">
      <w:pPr>
        <w:rPr>
          <w:b/>
          <w:szCs w:val="21"/>
        </w:rPr>
      </w:pPr>
      <w:r>
        <w:rPr>
          <w:b/>
          <w:szCs w:val="21"/>
        </w:rPr>
        <w:t>1</w:t>
      </w:r>
      <w:r>
        <w:rPr>
          <w:rFonts w:hint="eastAsia"/>
          <w:b/>
          <w:szCs w:val="21"/>
        </w:rPr>
        <w:t>、标准修订理由和编制原则</w:t>
      </w:r>
    </w:p>
    <w:p w14:paraId="3DE8B7A2" w14:textId="27A017DD" w:rsidR="00D11AF7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本标准作为产品标准，自发布实施以来，被广大工业直链烷基苯磺酸生产方、使用方及检测机构使用，为保证工业直链烷基苯磺酸质量起到了积极引领作用。该标准规定采用Klett光电比色计测定产品色泽，由于</w:t>
      </w:r>
      <w:r w:rsidR="00F40F42">
        <w:rPr>
          <w:rFonts w:ascii="宋体" w:hAnsi="宋体" w:hint="eastAsia"/>
        </w:rPr>
        <w:t>相关生产企业已不在生产</w:t>
      </w:r>
      <w:r>
        <w:rPr>
          <w:rFonts w:ascii="宋体" w:hAnsi="宋体" w:hint="eastAsia"/>
        </w:rPr>
        <w:t>Klett光电比色计，</w:t>
      </w:r>
      <w:r w:rsidR="00F40F42">
        <w:rPr>
          <w:rFonts w:ascii="宋体" w:hAnsi="宋体" w:hint="eastAsia"/>
        </w:rPr>
        <w:t>且该仪器无法校准溯源，不同仪器之间，新旧仪器间测试结果存在差异</w:t>
      </w:r>
      <w:r>
        <w:rPr>
          <w:rFonts w:ascii="宋体" w:hAnsi="宋体" w:hint="eastAsia"/>
        </w:rPr>
        <w:t>。为保证该标准的适用性，提出该标准修订计划。</w:t>
      </w:r>
    </w:p>
    <w:p w14:paraId="23D99CE4" w14:textId="285B1465" w:rsidR="00D11AF7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本次修订引用</w:t>
      </w:r>
      <w:r w:rsidR="009A05A4" w:rsidRPr="009A05A4">
        <w:rPr>
          <w:rFonts w:ascii="宋体" w:hAnsi="宋体" w:hint="eastAsia"/>
        </w:rPr>
        <w:t>GB/T 9282.1</w:t>
      </w:r>
      <w:r w:rsidR="009A05A4">
        <w:rPr>
          <w:rFonts w:ascii="宋体" w:hAnsi="宋体" w:hint="eastAsia"/>
        </w:rPr>
        <w:t>《</w:t>
      </w:r>
      <w:r w:rsidR="009A05A4" w:rsidRPr="009A05A4">
        <w:rPr>
          <w:rFonts w:ascii="宋体" w:hAnsi="宋体" w:hint="eastAsia"/>
        </w:rPr>
        <w:t>透明液体 以铂-钴等级评定颜色 第1部分：目视法</w:t>
      </w:r>
      <w:r w:rsidR="009A05A4">
        <w:rPr>
          <w:rFonts w:ascii="宋体" w:hAnsi="宋体" w:hint="eastAsia"/>
        </w:rPr>
        <w:t>》</w:t>
      </w:r>
      <w:r>
        <w:rPr>
          <w:rFonts w:ascii="宋体" w:hAnsi="宋体" w:hint="eastAsia"/>
        </w:rPr>
        <w:t>来测定工业直链烷基苯磺酸的色泽，以Hazen色泽来表示。</w:t>
      </w:r>
    </w:p>
    <w:p w14:paraId="6E64A4E7" w14:textId="104BA048" w:rsidR="00D11AF7" w:rsidRDefault="00F40F4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本标准按</w:t>
      </w:r>
      <w:r>
        <w:t>GB/T 1.1</w:t>
      </w:r>
      <w:r>
        <w:t>－</w:t>
      </w:r>
      <w:r>
        <w:t>2020</w:t>
      </w:r>
      <w:r>
        <w:rPr>
          <w:rFonts w:hAnsi="宋体"/>
        </w:rPr>
        <w:t>《标准化工作导则</w:t>
      </w:r>
      <w:r>
        <w:t xml:space="preserve"> </w:t>
      </w:r>
      <w:r>
        <w:rPr>
          <w:rFonts w:hAnsi="宋体"/>
        </w:rPr>
        <w:t>第</w:t>
      </w:r>
      <w:r>
        <w:t>1</w:t>
      </w:r>
      <w:r>
        <w:rPr>
          <w:rFonts w:hAnsi="宋体"/>
        </w:rPr>
        <w:t>部分：标准化文件的结构和起草规则》进行编写。本标准</w:t>
      </w:r>
      <w:r>
        <w:rPr>
          <w:rFonts w:ascii="宋体" w:hAnsi="宋体" w:hint="eastAsia"/>
        </w:rPr>
        <w:t>制定</w:t>
      </w:r>
      <w:r>
        <w:rPr>
          <w:rFonts w:hAnsi="宋体"/>
        </w:rPr>
        <w:t>过程中，主要参考了以下标准或文件：</w:t>
      </w:r>
    </w:p>
    <w:p w14:paraId="5EB79160" w14:textId="77777777" w:rsidR="00D11AF7" w:rsidRDefault="00000000">
      <w:pPr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GB/T 5173  </w:t>
      </w:r>
      <w:r>
        <w:rPr>
          <w:rFonts w:hint="eastAsia"/>
          <w:kern w:val="0"/>
          <w:szCs w:val="21"/>
        </w:rPr>
        <w:t>表面活性剂和洗涤剂</w:t>
      </w:r>
      <w:r>
        <w:rPr>
          <w:rFonts w:hint="eastAsia"/>
          <w:kern w:val="0"/>
          <w:szCs w:val="21"/>
        </w:rPr>
        <w:t xml:space="preserve">  </w:t>
      </w:r>
      <w:r>
        <w:rPr>
          <w:rFonts w:hint="eastAsia"/>
          <w:kern w:val="0"/>
          <w:szCs w:val="21"/>
        </w:rPr>
        <w:t>阴离子活性物的测定</w:t>
      </w:r>
      <w:r>
        <w:rPr>
          <w:rFonts w:hint="eastAsia"/>
          <w:kern w:val="0"/>
          <w:szCs w:val="21"/>
        </w:rPr>
        <w:t xml:space="preserve">  </w:t>
      </w:r>
      <w:r>
        <w:rPr>
          <w:rFonts w:hint="eastAsia"/>
          <w:kern w:val="0"/>
          <w:szCs w:val="21"/>
        </w:rPr>
        <w:t>直接两相滴定法</w:t>
      </w:r>
    </w:p>
    <w:p w14:paraId="4350F6FA" w14:textId="77777777" w:rsidR="00D11AF7" w:rsidRDefault="00000000">
      <w:pPr>
        <w:pStyle w:val="a9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GB/T 5177  工业</w:t>
      </w:r>
      <w:r>
        <w:rPr>
          <w:rFonts w:hAnsi="宋体" w:hint="eastAsia"/>
          <w:color w:val="000000" w:themeColor="text1"/>
        </w:rPr>
        <w:t>直链</w:t>
      </w:r>
      <w:r>
        <w:rPr>
          <w:rFonts w:hint="eastAsia"/>
          <w:color w:val="000000" w:themeColor="text1"/>
        </w:rPr>
        <w:t>烷基苯</w:t>
      </w:r>
    </w:p>
    <w:p w14:paraId="141FAC44" w14:textId="77777777" w:rsidR="00D11AF7" w:rsidRDefault="00000000">
      <w:pPr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GB/T 5178  </w:t>
      </w:r>
      <w:r>
        <w:rPr>
          <w:rFonts w:hint="eastAsia"/>
          <w:kern w:val="0"/>
          <w:szCs w:val="21"/>
        </w:rPr>
        <w:t>工业直链烷基苯磺酸钠平均相对分子质量的测定</w:t>
      </w:r>
      <w:r>
        <w:rPr>
          <w:rFonts w:hint="eastAsia"/>
          <w:kern w:val="0"/>
          <w:szCs w:val="21"/>
        </w:rPr>
        <w:t xml:space="preserve">  </w:t>
      </w:r>
      <w:r>
        <w:rPr>
          <w:rFonts w:hint="eastAsia"/>
          <w:kern w:val="0"/>
          <w:szCs w:val="21"/>
        </w:rPr>
        <w:t>气液色谱法</w:t>
      </w:r>
    </w:p>
    <w:p w14:paraId="1E205F35" w14:textId="77777777" w:rsidR="00D11AF7" w:rsidRDefault="00000000">
      <w:pPr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GB/T 6366  </w:t>
      </w:r>
      <w:r>
        <w:rPr>
          <w:rFonts w:hint="eastAsia"/>
          <w:kern w:val="0"/>
          <w:szCs w:val="21"/>
        </w:rPr>
        <w:t>表面活性剂</w:t>
      </w:r>
      <w:r>
        <w:rPr>
          <w:rFonts w:hint="eastAsia"/>
          <w:kern w:val="0"/>
          <w:szCs w:val="21"/>
        </w:rPr>
        <w:t xml:space="preserve">  </w:t>
      </w:r>
      <w:r>
        <w:rPr>
          <w:rFonts w:hint="eastAsia"/>
          <w:kern w:val="0"/>
          <w:szCs w:val="21"/>
        </w:rPr>
        <w:t>无机硫酸盐含量的测定</w:t>
      </w:r>
      <w:r>
        <w:rPr>
          <w:rFonts w:hint="eastAsia"/>
          <w:kern w:val="0"/>
          <w:szCs w:val="21"/>
        </w:rPr>
        <w:t xml:space="preserve">  </w:t>
      </w:r>
      <w:r>
        <w:rPr>
          <w:rFonts w:hint="eastAsia"/>
          <w:kern w:val="0"/>
          <w:szCs w:val="21"/>
        </w:rPr>
        <w:t>滴定法</w:t>
      </w:r>
    </w:p>
    <w:p w14:paraId="5AF13810" w14:textId="77777777" w:rsidR="00D11AF7" w:rsidRDefault="00000000">
      <w:pPr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GB/T 6682  </w:t>
      </w:r>
      <w:r>
        <w:rPr>
          <w:rFonts w:hint="eastAsia"/>
          <w:kern w:val="0"/>
          <w:szCs w:val="21"/>
        </w:rPr>
        <w:t>分析实验室用水规格和试验方法（</w:t>
      </w:r>
      <w:r>
        <w:rPr>
          <w:rFonts w:hint="eastAsia"/>
          <w:kern w:val="0"/>
          <w:szCs w:val="21"/>
        </w:rPr>
        <w:t>GB.T 6682</w:t>
      </w:r>
      <w:r>
        <w:rPr>
          <w:rFonts w:hint="eastAsia"/>
          <w:kern w:val="0"/>
          <w:szCs w:val="21"/>
        </w:rPr>
        <w:t>—</w:t>
      </w:r>
      <w:r>
        <w:rPr>
          <w:rFonts w:hint="eastAsia"/>
          <w:kern w:val="0"/>
          <w:szCs w:val="21"/>
        </w:rPr>
        <w:t>2008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ISO 3696:1987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MOD</w:t>
      </w:r>
      <w:r>
        <w:rPr>
          <w:rFonts w:hint="eastAsia"/>
          <w:kern w:val="0"/>
          <w:szCs w:val="21"/>
        </w:rPr>
        <w:t>）</w:t>
      </w:r>
    </w:p>
    <w:p w14:paraId="7300A669" w14:textId="77777777" w:rsidR="00D11AF7" w:rsidRDefault="00000000">
      <w:pPr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GB/T 8170  </w:t>
      </w:r>
      <w:r>
        <w:rPr>
          <w:rFonts w:hint="eastAsia"/>
          <w:kern w:val="0"/>
          <w:szCs w:val="21"/>
        </w:rPr>
        <w:t>数值修约规则与极限数值的表示和判定</w:t>
      </w:r>
    </w:p>
    <w:p w14:paraId="376A0AB8" w14:textId="02ADD8B8" w:rsidR="009A05A4" w:rsidRPr="009A05A4" w:rsidRDefault="009A05A4" w:rsidP="009A05A4">
      <w:pPr>
        <w:ind w:firstLineChars="200" w:firstLine="420"/>
        <w:rPr>
          <w:rFonts w:hint="eastAsia"/>
          <w:kern w:val="0"/>
          <w:szCs w:val="21"/>
        </w:rPr>
      </w:pPr>
      <w:bookmarkStart w:id="0" w:name="_Hlk206679446"/>
      <w:r w:rsidRPr="009A05A4">
        <w:rPr>
          <w:rFonts w:hint="eastAsia"/>
          <w:kern w:val="0"/>
          <w:szCs w:val="21"/>
        </w:rPr>
        <w:lastRenderedPageBreak/>
        <w:t>GB/T 9282</w:t>
      </w:r>
      <w:r w:rsidRPr="009A05A4">
        <w:rPr>
          <w:kern w:val="0"/>
          <w:szCs w:val="21"/>
        </w:rPr>
        <w:t xml:space="preserve">.1 </w:t>
      </w:r>
      <w:r w:rsidRPr="009A05A4">
        <w:rPr>
          <w:rFonts w:hint="eastAsia"/>
          <w:kern w:val="0"/>
          <w:szCs w:val="21"/>
        </w:rPr>
        <w:t>透明液体</w:t>
      </w:r>
      <w:r w:rsidRPr="009A05A4">
        <w:rPr>
          <w:rFonts w:hint="eastAsia"/>
          <w:kern w:val="0"/>
          <w:szCs w:val="21"/>
        </w:rPr>
        <w:t xml:space="preserve"> </w:t>
      </w:r>
      <w:r w:rsidRPr="009A05A4">
        <w:rPr>
          <w:rFonts w:hint="eastAsia"/>
          <w:kern w:val="0"/>
          <w:szCs w:val="21"/>
        </w:rPr>
        <w:t>以铂</w:t>
      </w:r>
      <w:r w:rsidRPr="009A05A4">
        <w:rPr>
          <w:rFonts w:hint="eastAsia"/>
          <w:kern w:val="0"/>
          <w:szCs w:val="21"/>
        </w:rPr>
        <w:t>-</w:t>
      </w:r>
      <w:r w:rsidRPr="009A05A4">
        <w:rPr>
          <w:rFonts w:hint="eastAsia"/>
          <w:kern w:val="0"/>
          <w:szCs w:val="21"/>
        </w:rPr>
        <w:t>钴等级评定颜色</w:t>
      </w:r>
      <w:r w:rsidRPr="009A05A4">
        <w:rPr>
          <w:rFonts w:hint="eastAsia"/>
          <w:kern w:val="0"/>
          <w:szCs w:val="21"/>
        </w:rPr>
        <w:t xml:space="preserve"> </w:t>
      </w:r>
      <w:r w:rsidRPr="009A05A4">
        <w:rPr>
          <w:rFonts w:hint="eastAsia"/>
          <w:kern w:val="0"/>
          <w:szCs w:val="21"/>
        </w:rPr>
        <w:t>第</w:t>
      </w:r>
      <w:r w:rsidRPr="009A05A4">
        <w:rPr>
          <w:rFonts w:hint="eastAsia"/>
          <w:kern w:val="0"/>
          <w:szCs w:val="21"/>
        </w:rPr>
        <w:t>1</w:t>
      </w:r>
      <w:r w:rsidRPr="009A05A4">
        <w:rPr>
          <w:rFonts w:hint="eastAsia"/>
          <w:kern w:val="0"/>
          <w:szCs w:val="21"/>
        </w:rPr>
        <w:t>部分：目视法</w:t>
      </w:r>
      <w:r w:rsidRPr="009A05A4">
        <w:rPr>
          <w:rFonts w:hint="eastAsia"/>
          <w:kern w:val="0"/>
          <w:szCs w:val="21"/>
        </w:rPr>
        <w:t>（</w:t>
      </w:r>
      <w:r w:rsidRPr="009A05A4">
        <w:rPr>
          <w:kern w:val="0"/>
          <w:szCs w:val="21"/>
        </w:rPr>
        <w:t>GB/T 9282.1</w:t>
      </w:r>
      <w:r w:rsidRPr="009A05A4">
        <w:rPr>
          <w:rFonts w:hint="eastAsia"/>
          <w:kern w:val="0"/>
          <w:szCs w:val="21"/>
        </w:rPr>
        <w:t>—</w:t>
      </w:r>
      <w:r w:rsidRPr="009A05A4">
        <w:rPr>
          <w:rFonts w:hint="eastAsia"/>
          <w:kern w:val="0"/>
          <w:szCs w:val="21"/>
        </w:rPr>
        <w:t>2008</w:t>
      </w:r>
      <w:r w:rsidRPr="009A05A4">
        <w:rPr>
          <w:rFonts w:hint="eastAsia"/>
          <w:kern w:val="0"/>
          <w:szCs w:val="21"/>
        </w:rPr>
        <w:t>，</w:t>
      </w:r>
      <w:r w:rsidRPr="009A05A4">
        <w:rPr>
          <w:kern w:val="0"/>
          <w:szCs w:val="21"/>
        </w:rPr>
        <w:t>IS</w:t>
      </w:r>
      <w:r>
        <w:rPr>
          <w:rFonts w:hint="eastAsia"/>
          <w:kern w:val="0"/>
          <w:szCs w:val="21"/>
        </w:rPr>
        <w:t xml:space="preserve">O </w:t>
      </w:r>
      <w:r w:rsidRPr="009A05A4">
        <w:rPr>
          <w:kern w:val="0"/>
          <w:szCs w:val="21"/>
        </w:rPr>
        <w:t>6271-1:2004</w:t>
      </w:r>
      <w:r w:rsidRPr="009A05A4">
        <w:rPr>
          <w:rFonts w:hint="eastAsia"/>
          <w:kern w:val="0"/>
          <w:szCs w:val="21"/>
        </w:rPr>
        <w:t>，</w:t>
      </w:r>
      <w:r w:rsidRPr="009A05A4">
        <w:rPr>
          <w:kern w:val="0"/>
          <w:szCs w:val="21"/>
        </w:rPr>
        <w:t>MOD</w:t>
      </w:r>
      <w:r w:rsidRPr="009A05A4">
        <w:rPr>
          <w:rFonts w:hint="eastAsia"/>
          <w:kern w:val="0"/>
          <w:szCs w:val="21"/>
        </w:rPr>
        <w:t>）</w:t>
      </w:r>
      <w:bookmarkEnd w:id="0"/>
    </w:p>
    <w:p w14:paraId="7AFCF9DC" w14:textId="77777777" w:rsidR="00D11AF7" w:rsidRDefault="00000000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、主要内容</w:t>
      </w:r>
    </w:p>
    <w:p w14:paraId="560A6688" w14:textId="5F54E267" w:rsidR="00D11AF7" w:rsidRDefault="00000000">
      <w:pPr>
        <w:ind w:firstLineChars="200" w:firstLine="420"/>
        <w:jc w:val="left"/>
      </w:pPr>
      <w:r>
        <w:rPr>
          <w:rFonts w:hint="eastAsia"/>
        </w:rPr>
        <w:t>原标准</w:t>
      </w:r>
      <w:r>
        <w:rPr>
          <w:rFonts w:hint="eastAsia"/>
        </w:rPr>
        <w:t>1987</w:t>
      </w:r>
      <w:r>
        <w:rPr>
          <w:rFonts w:ascii="宋体" w:hAnsi="宋体" w:hint="eastAsia"/>
          <w:szCs w:val="21"/>
        </w:rPr>
        <w:t>年</w:t>
      </w:r>
      <w:r w:rsidR="00F40F42">
        <w:rPr>
          <w:rFonts w:ascii="宋体" w:hAnsi="宋体" w:hint="eastAsia"/>
          <w:szCs w:val="21"/>
        </w:rPr>
        <w:t>首次</w:t>
      </w:r>
      <w:r>
        <w:rPr>
          <w:rFonts w:ascii="宋体" w:hAnsi="宋体" w:hint="eastAsia"/>
          <w:szCs w:val="21"/>
        </w:rPr>
        <w:t>发布，</w:t>
      </w:r>
      <w:r>
        <w:rPr>
          <w:rFonts w:hint="eastAsia"/>
        </w:rPr>
        <w:t>1995</w:t>
      </w:r>
      <w:r>
        <w:rPr>
          <w:rFonts w:hint="eastAsia"/>
        </w:rPr>
        <w:t>年第一次修订，</w:t>
      </w:r>
      <w:r>
        <w:rPr>
          <w:rFonts w:hint="eastAsia"/>
        </w:rPr>
        <w:t>2008</w:t>
      </w:r>
      <w:r>
        <w:rPr>
          <w:rFonts w:hint="eastAsia"/>
        </w:rPr>
        <w:t>年第二次修订，本次为第三次修订。</w:t>
      </w:r>
      <w:r>
        <w:rPr>
          <w:rFonts w:ascii="宋体" w:hAnsi="宋体" w:hint="eastAsia"/>
          <w:szCs w:val="21"/>
        </w:rPr>
        <w:t>规定了工业直链烷基苯磺酸的烷基苯磺酸含量、游离油含量、硫酸含量、色泽四个指标。，适用做为洗涤剂原料的工业直链烷基苯磺酸，本次修订主要变动内容有：</w:t>
      </w:r>
    </w:p>
    <w:p w14:paraId="680C41C0" w14:textId="77777777" w:rsidR="00D11AF7" w:rsidRDefault="00000000">
      <w:pPr>
        <w:ind w:firstLineChars="150" w:firstLine="315"/>
        <w:rPr>
          <w:rFonts w:ascii="宋体"/>
          <w:szCs w:val="20"/>
        </w:rPr>
      </w:pPr>
      <w:r>
        <w:rPr>
          <w:rFonts w:ascii="宋体" w:hint="eastAsia"/>
          <w:szCs w:val="20"/>
        </w:rPr>
        <w:t>——修改了色泽的单位及指标（见5.2，2008年版的4.2）；</w:t>
      </w:r>
    </w:p>
    <w:p w14:paraId="3943547E" w14:textId="77777777" w:rsidR="00D11AF7" w:rsidRDefault="00000000">
      <w:pPr>
        <w:ind w:firstLineChars="150" w:firstLine="315"/>
        <w:rPr>
          <w:rFonts w:ascii="宋体"/>
          <w:szCs w:val="20"/>
        </w:rPr>
      </w:pPr>
      <w:r>
        <w:rPr>
          <w:rFonts w:ascii="宋体" w:hint="eastAsia"/>
          <w:szCs w:val="20"/>
        </w:rPr>
        <w:t>——修改了色泽的测定方法（见6.4，2008年版的5.4）；</w:t>
      </w:r>
    </w:p>
    <w:p w14:paraId="670D3545" w14:textId="77777777" w:rsidR="00D11AF7" w:rsidRDefault="00000000">
      <w:pPr>
        <w:ind w:firstLineChars="150" w:firstLine="315"/>
        <w:rPr>
          <w:rFonts w:ascii="宋体"/>
          <w:szCs w:val="20"/>
        </w:rPr>
      </w:pPr>
      <w:r>
        <w:rPr>
          <w:rFonts w:ascii="宋体" w:hint="eastAsia"/>
          <w:szCs w:val="20"/>
        </w:rPr>
        <w:t>——删除了附录A。</w:t>
      </w:r>
    </w:p>
    <w:p w14:paraId="00C18D8F" w14:textId="77777777" w:rsidR="00D11AF7" w:rsidRDefault="00000000">
      <w:pPr>
        <w:rPr>
          <w:szCs w:val="21"/>
        </w:rPr>
      </w:pPr>
      <w:r>
        <w:rPr>
          <w:rFonts w:ascii="宋体" w:hAnsi="宋体" w:hint="eastAsia"/>
          <w:b/>
        </w:rPr>
        <w:t>三、主要试验（或验证）情况</w:t>
      </w:r>
    </w:p>
    <w:p w14:paraId="1C60533C" w14:textId="77777777" w:rsidR="00D11AF7" w:rsidRDefault="00000000">
      <w:pPr>
        <w:ind w:firstLineChars="300" w:firstLine="630"/>
        <w:rPr>
          <w:rFonts w:ascii="宋体" w:hAnsi="宋体" w:hint="eastAsia"/>
        </w:rPr>
      </w:pPr>
      <w:r>
        <w:rPr>
          <w:rFonts w:ascii="宋体" w:hAnsi="宋体" w:hint="eastAsia"/>
        </w:rPr>
        <w:t>本次修订保留了原标准的检测方法，只修订了色泽的</w:t>
      </w:r>
      <w:r>
        <w:rPr>
          <w:rFonts w:ascii="宋体" w:hint="eastAsia"/>
          <w:szCs w:val="20"/>
        </w:rPr>
        <w:t>单位及指标和</w:t>
      </w:r>
      <w:r>
        <w:rPr>
          <w:rFonts w:ascii="宋体" w:hAnsi="宋体" w:hint="eastAsia"/>
        </w:rPr>
        <w:t>检测方法就，并进一步对该方法进行了验证。</w:t>
      </w:r>
    </w:p>
    <w:p w14:paraId="3665E5B0" w14:textId="77777777" w:rsidR="00D11AF7" w:rsidRDefault="00000000">
      <w:pPr>
        <w:ind w:firstLineChars="300" w:firstLine="630"/>
        <w:rPr>
          <w:rFonts w:ascii="宋体" w:hAnsi="宋体" w:hint="eastAsia"/>
        </w:rPr>
      </w:pPr>
      <w:r>
        <w:rPr>
          <w:rFonts w:ascii="宋体" w:hAnsi="宋体" w:hint="eastAsia"/>
        </w:rPr>
        <w:t>1方法一（仲裁法）</w:t>
      </w:r>
    </w:p>
    <w:p w14:paraId="7E295B73" w14:textId="77777777" w:rsidR="00D11AF7" w:rsidRDefault="00000000">
      <w:pPr>
        <w:ind w:firstLineChars="300" w:firstLine="630"/>
        <w:rPr>
          <w:rFonts w:ascii="宋体" w:hAnsi="宋体" w:hint="eastAsia"/>
        </w:rPr>
      </w:pPr>
      <w:r>
        <w:rPr>
          <w:rFonts w:ascii="宋体" w:hAnsi="宋体" w:hint="eastAsia"/>
        </w:rPr>
        <w:t>称取4.7g试样（精确至0.01g）至150mL烧杯中，加水50mL，用氢氧化钠水溶液（约1mol/L）和盐酸水溶液（约1mol/L）中和至pH=8，放在沸水浴上约30min～40min，冷却后，将试样溶液重新调到pH=8，转移至100mL容量瓶中，再用水稀释至刻度，摇匀。</w:t>
      </w:r>
    </w:p>
    <w:p w14:paraId="13A65074" w14:textId="29C4CF9B" w:rsidR="00D11AF7" w:rsidRDefault="00000000">
      <w:pPr>
        <w:ind w:firstLineChars="300" w:firstLine="63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按GB/T </w:t>
      </w:r>
      <w:r w:rsidR="00586481">
        <w:rPr>
          <w:rFonts w:ascii="宋体" w:hAnsi="宋体" w:hint="eastAsia"/>
        </w:rPr>
        <w:t>9282.1</w:t>
      </w:r>
      <w:r>
        <w:rPr>
          <w:rFonts w:ascii="宋体" w:hAnsi="宋体" w:hint="eastAsia"/>
        </w:rPr>
        <w:t>的规定测定溶液的色泽。</w:t>
      </w:r>
    </w:p>
    <w:p w14:paraId="6E69276A" w14:textId="77777777" w:rsidR="00D11AF7" w:rsidRDefault="00000000">
      <w:pPr>
        <w:ind w:firstLineChars="300" w:firstLine="630"/>
        <w:rPr>
          <w:rFonts w:ascii="宋体" w:hAnsi="宋体" w:hint="eastAsia"/>
        </w:rPr>
      </w:pPr>
      <w:r>
        <w:rPr>
          <w:rFonts w:ascii="宋体" w:hAnsi="宋体" w:hint="eastAsia"/>
        </w:rPr>
        <w:t>2方法二</w:t>
      </w:r>
    </w:p>
    <w:p w14:paraId="5319ECF7" w14:textId="77777777" w:rsidR="00D11AF7" w:rsidRDefault="00000000" w:rsidP="00F40F42">
      <w:pPr>
        <w:ind w:firstLineChars="270" w:firstLine="567"/>
        <w:rPr>
          <w:rFonts w:ascii="宋体" w:hAnsi="宋体" w:hint="eastAsia"/>
        </w:rPr>
      </w:pPr>
      <w:r>
        <w:rPr>
          <w:rFonts w:ascii="宋体" w:hAnsi="宋体" w:hint="eastAsia"/>
        </w:rPr>
        <w:t>称取4.7g试样（精确至0.01g）至150mL烧杯中，加95％乙醇约30mL，溶解后转移至100mL容量瓶，用95％乙醇稀释至刻度，摇匀。</w:t>
      </w:r>
    </w:p>
    <w:p w14:paraId="24A4A975" w14:textId="3B650918" w:rsidR="00D11AF7" w:rsidRDefault="00000000" w:rsidP="00F40F42">
      <w:pPr>
        <w:ind w:firstLineChars="270" w:firstLine="567"/>
        <w:rPr>
          <w:rFonts w:ascii="宋体" w:hAnsi="宋体" w:hint="eastAsia"/>
        </w:rPr>
      </w:pPr>
      <w:r>
        <w:rPr>
          <w:rFonts w:ascii="宋体" w:hAnsi="宋体" w:hint="eastAsia"/>
        </w:rPr>
        <w:t xml:space="preserve">按GB/T </w:t>
      </w:r>
      <w:r w:rsidR="00586481">
        <w:rPr>
          <w:rFonts w:ascii="宋体" w:hAnsi="宋体" w:hint="eastAsia"/>
        </w:rPr>
        <w:t>9282.1</w:t>
      </w:r>
      <w:r>
        <w:rPr>
          <w:rFonts w:ascii="宋体" w:hAnsi="宋体" w:hint="eastAsia"/>
        </w:rPr>
        <w:t>的规定测定溶液的色泽。</w:t>
      </w:r>
    </w:p>
    <w:p w14:paraId="0AB5C867" w14:textId="77777777" w:rsidR="00D11AF7" w:rsidRDefault="00000000" w:rsidP="00F40F42">
      <w:pPr>
        <w:ind w:firstLineChars="250" w:firstLine="525"/>
        <w:rPr>
          <w:rFonts w:ascii="宋体" w:hAnsi="宋体" w:hint="eastAsia"/>
        </w:rPr>
      </w:pPr>
      <w:r>
        <w:rPr>
          <w:rFonts w:ascii="宋体" w:hAnsi="宋体" w:hint="eastAsia"/>
        </w:rPr>
        <w:t>将标准铂-钴溶液分别用Klett光电比色计和色度仪测试，实验数据如下：</w:t>
      </w:r>
    </w:p>
    <w:p w14:paraId="7AD5C7D2" w14:textId="77777777" w:rsidR="00D11AF7" w:rsidRDefault="00000000">
      <w:pPr>
        <w:jc w:val="center"/>
        <w:rPr>
          <w:rFonts w:ascii="宋体" w:hAnsi="宋体" w:hint="eastAsia"/>
        </w:rPr>
      </w:pPr>
      <w:r>
        <w:rPr>
          <w:rFonts w:ascii="宋体" w:hAnsi="宋体" w:hint="eastAsia"/>
        </w:rPr>
        <w:t>表1 Hazen标液的Klett值和色度仪读数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321"/>
        <w:gridCol w:w="2321"/>
        <w:gridCol w:w="2322"/>
      </w:tblGrid>
      <w:tr w:rsidR="00D11AF7" w14:paraId="1327E24A" w14:textId="77777777">
        <w:trPr>
          <w:jc w:val="center"/>
        </w:trPr>
        <w:tc>
          <w:tcPr>
            <w:tcW w:w="2321" w:type="dxa"/>
          </w:tcPr>
          <w:p w14:paraId="765FAA2A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标准铂-钴溶液的Hazen值</w:t>
            </w:r>
          </w:p>
        </w:tc>
        <w:tc>
          <w:tcPr>
            <w:tcW w:w="2321" w:type="dxa"/>
          </w:tcPr>
          <w:p w14:paraId="4F0FF63B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Klett值</w:t>
            </w:r>
          </w:p>
        </w:tc>
        <w:tc>
          <w:tcPr>
            <w:tcW w:w="2322" w:type="dxa"/>
          </w:tcPr>
          <w:p w14:paraId="326621B5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色度仪测得的Hazen值</w:t>
            </w:r>
          </w:p>
        </w:tc>
      </w:tr>
      <w:tr w:rsidR="00D11AF7" w14:paraId="32ED8B89" w14:textId="77777777">
        <w:trPr>
          <w:jc w:val="center"/>
        </w:trPr>
        <w:tc>
          <w:tcPr>
            <w:tcW w:w="2321" w:type="dxa"/>
          </w:tcPr>
          <w:p w14:paraId="7C20F9EF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2321" w:type="dxa"/>
          </w:tcPr>
          <w:p w14:paraId="182149DA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2322" w:type="dxa"/>
          </w:tcPr>
          <w:p w14:paraId="501AE5C5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10.1</w:t>
            </w:r>
          </w:p>
        </w:tc>
      </w:tr>
      <w:tr w:rsidR="00D11AF7" w14:paraId="1B8A5CB2" w14:textId="77777777">
        <w:trPr>
          <w:jc w:val="center"/>
        </w:trPr>
        <w:tc>
          <w:tcPr>
            <w:tcW w:w="2321" w:type="dxa"/>
          </w:tcPr>
          <w:p w14:paraId="5E0EDFDC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</w:t>
            </w:r>
          </w:p>
        </w:tc>
        <w:tc>
          <w:tcPr>
            <w:tcW w:w="2321" w:type="dxa"/>
          </w:tcPr>
          <w:p w14:paraId="7BAED3A2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</w:t>
            </w:r>
          </w:p>
        </w:tc>
        <w:tc>
          <w:tcPr>
            <w:tcW w:w="2322" w:type="dxa"/>
          </w:tcPr>
          <w:p w14:paraId="7CF9F073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20.3</w:t>
            </w:r>
          </w:p>
        </w:tc>
      </w:tr>
      <w:tr w:rsidR="00D11AF7" w14:paraId="0DC9248C" w14:textId="77777777">
        <w:trPr>
          <w:jc w:val="center"/>
        </w:trPr>
        <w:tc>
          <w:tcPr>
            <w:tcW w:w="2321" w:type="dxa"/>
          </w:tcPr>
          <w:p w14:paraId="2612E851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</w:t>
            </w:r>
          </w:p>
        </w:tc>
        <w:tc>
          <w:tcPr>
            <w:tcW w:w="2321" w:type="dxa"/>
          </w:tcPr>
          <w:p w14:paraId="3E672220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</w:t>
            </w:r>
          </w:p>
        </w:tc>
        <w:tc>
          <w:tcPr>
            <w:tcW w:w="2322" w:type="dxa"/>
          </w:tcPr>
          <w:p w14:paraId="1594F008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30.6</w:t>
            </w:r>
          </w:p>
        </w:tc>
      </w:tr>
      <w:tr w:rsidR="00D11AF7" w14:paraId="5B85C330" w14:textId="77777777">
        <w:trPr>
          <w:jc w:val="center"/>
        </w:trPr>
        <w:tc>
          <w:tcPr>
            <w:tcW w:w="2321" w:type="dxa"/>
          </w:tcPr>
          <w:p w14:paraId="788BC6D4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50</w:t>
            </w:r>
          </w:p>
        </w:tc>
        <w:tc>
          <w:tcPr>
            <w:tcW w:w="2321" w:type="dxa"/>
          </w:tcPr>
          <w:p w14:paraId="2557A728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</w:t>
            </w:r>
          </w:p>
        </w:tc>
        <w:tc>
          <w:tcPr>
            <w:tcW w:w="2322" w:type="dxa"/>
          </w:tcPr>
          <w:p w14:paraId="2EB471FD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50.4</w:t>
            </w:r>
          </w:p>
        </w:tc>
      </w:tr>
      <w:tr w:rsidR="00D11AF7" w14:paraId="77D8B5A8" w14:textId="77777777">
        <w:trPr>
          <w:jc w:val="center"/>
        </w:trPr>
        <w:tc>
          <w:tcPr>
            <w:tcW w:w="2321" w:type="dxa"/>
          </w:tcPr>
          <w:p w14:paraId="359DDED5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80</w:t>
            </w:r>
          </w:p>
        </w:tc>
        <w:tc>
          <w:tcPr>
            <w:tcW w:w="2321" w:type="dxa"/>
          </w:tcPr>
          <w:p w14:paraId="047A556B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50</w:t>
            </w:r>
          </w:p>
        </w:tc>
        <w:tc>
          <w:tcPr>
            <w:tcW w:w="2322" w:type="dxa"/>
          </w:tcPr>
          <w:p w14:paraId="642B9AA6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79.6</w:t>
            </w:r>
          </w:p>
        </w:tc>
      </w:tr>
      <w:tr w:rsidR="00D11AF7" w14:paraId="6CACFDA8" w14:textId="77777777">
        <w:trPr>
          <w:jc w:val="center"/>
        </w:trPr>
        <w:tc>
          <w:tcPr>
            <w:tcW w:w="2321" w:type="dxa"/>
          </w:tcPr>
          <w:p w14:paraId="4FBDE8B0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100</w:t>
            </w:r>
          </w:p>
        </w:tc>
        <w:tc>
          <w:tcPr>
            <w:tcW w:w="2321" w:type="dxa"/>
          </w:tcPr>
          <w:p w14:paraId="43948F1D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63</w:t>
            </w:r>
          </w:p>
        </w:tc>
        <w:tc>
          <w:tcPr>
            <w:tcW w:w="2322" w:type="dxa"/>
          </w:tcPr>
          <w:p w14:paraId="354329F2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100.5</w:t>
            </w:r>
          </w:p>
        </w:tc>
      </w:tr>
      <w:tr w:rsidR="00D11AF7" w14:paraId="6022D41A" w14:textId="77777777">
        <w:trPr>
          <w:jc w:val="center"/>
        </w:trPr>
        <w:tc>
          <w:tcPr>
            <w:tcW w:w="2321" w:type="dxa"/>
          </w:tcPr>
          <w:p w14:paraId="438C0094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150</w:t>
            </w:r>
          </w:p>
        </w:tc>
        <w:tc>
          <w:tcPr>
            <w:tcW w:w="2321" w:type="dxa"/>
          </w:tcPr>
          <w:p w14:paraId="6CFF12FE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95</w:t>
            </w:r>
          </w:p>
        </w:tc>
        <w:tc>
          <w:tcPr>
            <w:tcW w:w="2322" w:type="dxa"/>
          </w:tcPr>
          <w:p w14:paraId="10888353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148.8</w:t>
            </w:r>
          </w:p>
        </w:tc>
      </w:tr>
    </w:tbl>
    <w:p w14:paraId="4D85951C" w14:textId="715588F3" w:rsidR="00D11AF7" w:rsidRDefault="00000000" w:rsidP="00F40F4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从表1可以看出，采用色度仪测得的 Hazen 值与标准铂-钴溶液的 Hazen 值基本一致。</w:t>
      </w:r>
    </w:p>
    <w:p w14:paraId="18B62DB0" w14:textId="77777777" w:rsidR="00D11AF7" w:rsidRDefault="00000000">
      <w:pPr>
        <w:jc w:val="center"/>
        <w:rPr>
          <w:rFonts w:ascii="宋体" w:hAnsi="宋体" w:hint="eastAsia"/>
        </w:rPr>
      </w:pPr>
      <w:r>
        <w:rPr>
          <w:noProof/>
        </w:rPr>
        <w:drawing>
          <wp:inline distT="0" distB="0" distL="0" distR="0" wp14:anchorId="3ED48698" wp14:editId="7A3C43E4">
            <wp:extent cx="2840355" cy="1880235"/>
            <wp:effectExtent l="0" t="0" r="17145" b="24765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0037C9A" w14:textId="77777777" w:rsidR="00D11AF7" w:rsidRDefault="00000000">
      <w:pPr>
        <w:jc w:val="center"/>
        <w:rPr>
          <w:rFonts w:ascii="宋体" w:hAnsi="宋体" w:hint="eastAsia"/>
        </w:rPr>
      </w:pPr>
      <w:r>
        <w:rPr>
          <w:rFonts w:ascii="宋体" w:hAnsi="宋体" w:hint="eastAsia"/>
        </w:rPr>
        <w:t>图 1 Klett 值与 Hazen 值曲线图</w:t>
      </w:r>
    </w:p>
    <w:p w14:paraId="40CFD43F" w14:textId="7973BDDF" w:rsidR="00D11AF7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将 Klett 值与 Hazen 值作图，如图1所示，可以看出，两者呈线性关系。从曲线中可以读出，</w:t>
      </w:r>
      <w:r>
        <w:rPr>
          <w:rFonts w:ascii="宋体" w:hAnsi="宋体" w:hint="eastAsia"/>
        </w:rPr>
        <w:lastRenderedPageBreak/>
        <w:t>30 Klett 对应的 Hazen 值为 50，50 Klett 对应的 Hazen 值为 80。修订前的磺酸标准（GB/T</w:t>
      </w:r>
      <w:r w:rsidR="00F40F42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8447-2008）对色泽要求如表2所示。</w:t>
      </w:r>
    </w:p>
    <w:p w14:paraId="000E467D" w14:textId="77777777" w:rsidR="00D11AF7" w:rsidRDefault="00D11AF7">
      <w:pPr>
        <w:jc w:val="center"/>
        <w:rPr>
          <w:rFonts w:ascii="宋体" w:hAnsi="宋体" w:hint="eastAsia"/>
        </w:rPr>
      </w:pPr>
    </w:p>
    <w:p w14:paraId="3EB2D578" w14:textId="77777777" w:rsidR="00D11AF7" w:rsidRDefault="00000000">
      <w:pPr>
        <w:jc w:val="center"/>
        <w:rPr>
          <w:rFonts w:ascii="宋体" w:hAnsi="宋体" w:hint="eastAsia"/>
        </w:rPr>
      </w:pPr>
      <w:r>
        <w:rPr>
          <w:rFonts w:ascii="宋体" w:hAnsi="宋体" w:hint="eastAsia"/>
        </w:rPr>
        <w:t>表 2 修订前的磺酸标准色泽指标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387"/>
        <w:gridCol w:w="2028"/>
        <w:gridCol w:w="1962"/>
      </w:tblGrid>
      <w:tr w:rsidR="00D11AF7" w14:paraId="3ADE086C" w14:textId="77777777">
        <w:trPr>
          <w:cantSplit/>
          <w:trHeight w:val="375"/>
          <w:jc w:val="center"/>
        </w:trPr>
        <w:tc>
          <w:tcPr>
            <w:tcW w:w="4095" w:type="dxa"/>
            <w:gridSpan w:val="2"/>
            <w:vMerge w:val="restart"/>
            <w:vAlign w:val="center"/>
          </w:tcPr>
          <w:p w14:paraId="6DB42EF0" w14:textId="77777777" w:rsidR="00D11AF7" w:rsidRDefault="00000000">
            <w:pPr>
              <w:spacing w:line="3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项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rFonts w:hint="eastAsia"/>
                <w:sz w:val="18"/>
              </w:rPr>
              <w:t>目</w:t>
            </w:r>
          </w:p>
        </w:tc>
        <w:tc>
          <w:tcPr>
            <w:tcW w:w="3990" w:type="dxa"/>
            <w:gridSpan w:val="2"/>
            <w:vAlign w:val="center"/>
          </w:tcPr>
          <w:p w14:paraId="3479AC91" w14:textId="77777777" w:rsidR="00D11AF7" w:rsidRDefault="00000000">
            <w:pPr>
              <w:spacing w:line="3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指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rFonts w:hint="eastAsia"/>
                <w:sz w:val="18"/>
              </w:rPr>
              <w:t>标</w:t>
            </w:r>
          </w:p>
        </w:tc>
      </w:tr>
      <w:tr w:rsidR="00D11AF7" w14:paraId="6EECEA7B" w14:textId="77777777">
        <w:trPr>
          <w:cantSplit/>
          <w:trHeight w:val="315"/>
          <w:jc w:val="center"/>
        </w:trPr>
        <w:tc>
          <w:tcPr>
            <w:tcW w:w="4095" w:type="dxa"/>
            <w:gridSpan w:val="2"/>
            <w:vMerge/>
            <w:vAlign w:val="center"/>
          </w:tcPr>
          <w:p w14:paraId="72F5F797" w14:textId="77777777" w:rsidR="00D11AF7" w:rsidRDefault="00D11AF7">
            <w:pPr>
              <w:spacing w:line="340" w:lineRule="atLeast"/>
              <w:jc w:val="center"/>
              <w:rPr>
                <w:sz w:val="18"/>
              </w:rPr>
            </w:pPr>
          </w:p>
        </w:tc>
        <w:tc>
          <w:tcPr>
            <w:tcW w:w="2028" w:type="dxa"/>
            <w:vAlign w:val="center"/>
          </w:tcPr>
          <w:p w14:paraId="61284C52" w14:textId="77777777" w:rsidR="00D11AF7" w:rsidRDefault="00000000">
            <w:pPr>
              <w:spacing w:line="3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优等品</w:t>
            </w:r>
          </w:p>
        </w:tc>
        <w:tc>
          <w:tcPr>
            <w:tcW w:w="1962" w:type="dxa"/>
            <w:vAlign w:val="center"/>
          </w:tcPr>
          <w:p w14:paraId="6204D85A" w14:textId="77777777" w:rsidR="00D11AF7" w:rsidRDefault="00000000">
            <w:pPr>
              <w:spacing w:line="3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合格品</w:t>
            </w:r>
          </w:p>
        </w:tc>
      </w:tr>
      <w:tr w:rsidR="00D11AF7" w14:paraId="20AD9238" w14:textId="77777777">
        <w:trPr>
          <w:cantSplit/>
          <w:trHeight w:val="213"/>
          <w:jc w:val="center"/>
        </w:trPr>
        <w:tc>
          <w:tcPr>
            <w:tcW w:w="3708" w:type="dxa"/>
            <w:tcBorders>
              <w:bottom w:val="single" w:sz="4" w:space="0" w:color="auto"/>
              <w:right w:val="nil"/>
            </w:tcBorders>
          </w:tcPr>
          <w:p w14:paraId="11EC5F35" w14:textId="77777777" w:rsidR="00D11AF7" w:rsidRDefault="00000000">
            <w:pPr>
              <w:spacing w:line="340" w:lineRule="atLeast"/>
              <w:rPr>
                <w:sz w:val="18"/>
              </w:rPr>
            </w:pPr>
            <w:r>
              <w:rPr>
                <w:rFonts w:hint="eastAsia"/>
                <w:sz w:val="18"/>
              </w:rPr>
              <w:t>色泽</w:t>
            </w:r>
            <w:r>
              <w:rPr>
                <w:rFonts w:hint="eastAsia"/>
                <w:sz w:val="18"/>
              </w:rPr>
              <w:t>/Klett</w:t>
            </w:r>
          </w:p>
        </w:tc>
        <w:tc>
          <w:tcPr>
            <w:tcW w:w="387" w:type="dxa"/>
            <w:tcBorders>
              <w:left w:val="nil"/>
              <w:bottom w:val="single" w:sz="4" w:space="0" w:color="auto"/>
            </w:tcBorders>
          </w:tcPr>
          <w:p w14:paraId="340D24BC" w14:textId="77777777" w:rsidR="00D11AF7" w:rsidRDefault="00000000">
            <w:pPr>
              <w:spacing w:line="340" w:lineRule="atLeast"/>
              <w:ind w:leftChars="-50" w:left="-105"/>
              <w:jc w:val="center"/>
              <w:rPr>
                <w:sz w:val="18"/>
              </w:rPr>
            </w:pPr>
            <w:r>
              <w:rPr>
                <w:rFonts w:ascii="宋体" w:hAnsi="宋体" w:hint="eastAsia"/>
                <w:sz w:val="18"/>
              </w:rPr>
              <w:t>≤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vAlign w:val="center"/>
          </w:tcPr>
          <w:p w14:paraId="774707C7" w14:textId="77777777" w:rsidR="00D11AF7" w:rsidRDefault="00000000">
            <w:pPr>
              <w:spacing w:line="3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14:paraId="7B024211" w14:textId="77777777" w:rsidR="00D11AF7" w:rsidRDefault="00000000">
            <w:pPr>
              <w:spacing w:line="3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50</w:t>
            </w:r>
          </w:p>
        </w:tc>
      </w:tr>
    </w:tbl>
    <w:p w14:paraId="511FE6A1" w14:textId="77777777" w:rsidR="00D11AF7" w:rsidRDefault="00000000">
      <w:pPr>
        <w:ind w:firstLineChars="300" w:firstLine="630"/>
        <w:rPr>
          <w:rFonts w:ascii="宋体" w:hAnsi="宋体" w:hint="eastAsia"/>
        </w:rPr>
      </w:pPr>
      <w:r>
        <w:rPr>
          <w:rFonts w:ascii="宋体" w:hAnsi="宋体" w:hint="eastAsia"/>
        </w:rPr>
        <w:t>修订后的磺酸标准对色泽要求如表3所示。</w:t>
      </w:r>
    </w:p>
    <w:p w14:paraId="4FDF8D6C" w14:textId="77777777" w:rsidR="00D11AF7" w:rsidRDefault="00D11AF7">
      <w:pPr>
        <w:jc w:val="center"/>
        <w:rPr>
          <w:rFonts w:ascii="宋体" w:hAnsi="宋体" w:hint="eastAsia"/>
        </w:rPr>
      </w:pPr>
    </w:p>
    <w:p w14:paraId="4E414765" w14:textId="77777777" w:rsidR="00D11AF7" w:rsidRDefault="00000000">
      <w:pPr>
        <w:jc w:val="center"/>
        <w:rPr>
          <w:rFonts w:ascii="宋体" w:hAnsi="宋体" w:hint="eastAsia"/>
        </w:rPr>
      </w:pPr>
      <w:r>
        <w:rPr>
          <w:rFonts w:ascii="宋体" w:hAnsi="宋体" w:hint="eastAsia"/>
        </w:rPr>
        <w:t>表3修订后的磺酸标准色泽指标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387"/>
        <w:gridCol w:w="2028"/>
        <w:gridCol w:w="1962"/>
      </w:tblGrid>
      <w:tr w:rsidR="00D11AF7" w14:paraId="1CE59C5F" w14:textId="77777777">
        <w:trPr>
          <w:cantSplit/>
          <w:trHeight w:val="375"/>
          <w:jc w:val="center"/>
        </w:trPr>
        <w:tc>
          <w:tcPr>
            <w:tcW w:w="4095" w:type="dxa"/>
            <w:gridSpan w:val="2"/>
            <w:vMerge w:val="restart"/>
            <w:vAlign w:val="center"/>
          </w:tcPr>
          <w:p w14:paraId="395CBB65" w14:textId="77777777" w:rsidR="00D11AF7" w:rsidRDefault="00000000">
            <w:pPr>
              <w:spacing w:line="3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项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rFonts w:hint="eastAsia"/>
                <w:sz w:val="18"/>
              </w:rPr>
              <w:t>目</w:t>
            </w:r>
          </w:p>
        </w:tc>
        <w:tc>
          <w:tcPr>
            <w:tcW w:w="3990" w:type="dxa"/>
            <w:gridSpan w:val="2"/>
            <w:vAlign w:val="center"/>
          </w:tcPr>
          <w:p w14:paraId="358DD308" w14:textId="77777777" w:rsidR="00D11AF7" w:rsidRDefault="00000000">
            <w:pPr>
              <w:spacing w:line="3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指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rFonts w:hint="eastAsia"/>
                <w:sz w:val="18"/>
              </w:rPr>
              <w:t>标</w:t>
            </w:r>
          </w:p>
        </w:tc>
      </w:tr>
      <w:tr w:rsidR="00D11AF7" w14:paraId="4E876B81" w14:textId="77777777">
        <w:trPr>
          <w:cantSplit/>
          <w:trHeight w:val="315"/>
          <w:jc w:val="center"/>
        </w:trPr>
        <w:tc>
          <w:tcPr>
            <w:tcW w:w="4095" w:type="dxa"/>
            <w:gridSpan w:val="2"/>
            <w:vMerge/>
            <w:vAlign w:val="center"/>
          </w:tcPr>
          <w:p w14:paraId="2FACA069" w14:textId="77777777" w:rsidR="00D11AF7" w:rsidRDefault="00D11AF7">
            <w:pPr>
              <w:spacing w:line="340" w:lineRule="atLeast"/>
              <w:jc w:val="center"/>
              <w:rPr>
                <w:sz w:val="18"/>
              </w:rPr>
            </w:pPr>
          </w:p>
        </w:tc>
        <w:tc>
          <w:tcPr>
            <w:tcW w:w="2028" w:type="dxa"/>
            <w:vAlign w:val="center"/>
          </w:tcPr>
          <w:p w14:paraId="0C92A2F5" w14:textId="77777777" w:rsidR="00D11AF7" w:rsidRDefault="00000000">
            <w:pPr>
              <w:spacing w:line="3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优等品</w:t>
            </w:r>
          </w:p>
        </w:tc>
        <w:tc>
          <w:tcPr>
            <w:tcW w:w="1962" w:type="dxa"/>
            <w:vAlign w:val="center"/>
          </w:tcPr>
          <w:p w14:paraId="70823711" w14:textId="77777777" w:rsidR="00D11AF7" w:rsidRDefault="00000000">
            <w:pPr>
              <w:spacing w:line="3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合格品</w:t>
            </w:r>
          </w:p>
        </w:tc>
      </w:tr>
      <w:tr w:rsidR="00D11AF7" w14:paraId="0F3523FB" w14:textId="77777777">
        <w:trPr>
          <w:cantSplit/>
          <w:trHeight w:val="213"/>
          <w:jc w:val="center"/>
        </w:trPr>
        <w:tc>
          <w:tcPr>
            <w:tcW w:w="3708" w:type="dxa"/>
            <w:tcBorders>
              <w:bottom w:val="single" w:sz="4" w:space="0" w:color="auto"/>
              <w:right w:val="nil"/>
            </w:tcBorders>
          </w:tcPr>
          <w:p w14:paraId="3C341618" w14:textId="77777777" w:rsidR="00D11AF7" w:rsidRDefault="00000000">
            <w:pPr>
              <w:spacing w:line="340" w:lineRule="atLeast"/>
              <w:rPr>
                <w:sz w:val="18"/>
              </w:rPr>
            </w:pPr>
            <w:r>
              <w:rPr>
                <w:rFonts w:hint="eastAsia"/>
                <w:sz w:val="18"/>
              </w:rPr>
              <w:t>色泽</w:t>
            </w:r>
            <w:r>
              <w:rPr>
                <w:rFonts w:hint="eastAsia"/>
                <w:sz w:val="18"/>
              </w:rPr>
              <w:t>/Hazen</w:t>
            </w:r>
          </w:p>
        </w:tc>
        <w:tc>
          <w:tcPr>
            <w:tcW w:w="387" w:type="dxa"/>
            <w:tcBorders>
              <w:left w:val="nil"/>
              <w:bottom w:val="single" w:sz="4" w:space="0" w:color="auto"/>
            </w:tcBorders>
          </w:tcPr>
          <w:p w14:paraId="35407594" w14:textId="77777777" w:rsidR="00D11AF7" w:rsidRDefault="00000000">
            <w:pPr>
              <w:spacing w:line="340" w:lineRule="atLeast"/>
              <w:ind w:leftChars="-50" w:left="-105"/>
              <w:jc w:val="center"/>
              <w:rPr>
                <w:sz w:val="18"/>
              </w:rPr>
            </w:pPr>
            <w:r>
              <w:rPr>
                <w:rFonts w:ascii="宋体" w:hAnsi="宋体" w:hint="eastAsia"/>
                <w:sz w:val="18"/>
              </w:rPr>
              <w:t>≤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vAlign w:val="center"/>
          </w:tcPr>
          <w:p w14:paraId="04EB86F6" w14:textId="77777777" w:rsidR="00D11AF7" w:rsidRDefault="00000000">
            <w:pPr>
              <w:spacing w:line="3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50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14:paraId="5AA536D3" w14:textId="77777777" w:rsidR="00D11AF7" w:rsidRDefault="00000000">
            <w:pPr>
              <w:spacing w:line="3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80</w:t>
            </w:r>
          </w:p>
        </w:tc>
      </w:tr>
    </w:tbl>
    <w:p w14:paraId="3FA2B020" w14:textId="77777777" w:rsidR="00D11AF7" w:rsidRDefault="00000000" w:rsidP="00F40F4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从表 4 可以看出，产品的色泽均满足指标。</w:t>
      </w:r>
    </w:p>
    <w:p w14:paraId="5F4B808F" w14:textId="77777777" w:rsidR="00D11AF7" w:rsidRDefault="00000000">
      <w:pPr>
        <w:jc w:val="center"/>
        <w:rPr>
          <w:rFonts w:ascii="宋体" w:hAnsi="宋体" w:hint="eastAsia"/>
        </w:rPr>
      </w:pPr>
      <w:r>
        <w:rPr>
          <w:rFonts w:ascii="宋体" w:hAnsi="宋体" w:hint="eastAsia"/>
        </w:rPr>
        <w:t>表4磺酸样品的 Klett 值与 Hazen 值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2410"/>
      </w:tblGrid>
      <w:tr w:rsidR="00D11AF7" w14:paraId="5B14A135" w14:textId="77777777">
        <w:trPr>
          <w:trHeight w:val="417"/>
          <w:jc w:val="center"/>
        </w:trPr>
        <w:tc>
          <w:tcPr>
            <w:tcW w:w="1384" w:type="dxa"/>
          </w:tcPr>
          <w:p w14:paraId="6E8FCBFB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样品名称</w:t>
            </w:r>
          </w:p>
        </w:tc>
        <w:tc>
          <w:tcPr>
            <w:tcW w:w="1985" w:type="dxa"/>
          </w:tcPr>
          <w:p w14:paraId="1D915AD1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klett值</w:t>
            </w:r>
          </w:p>
        </w:tc>
        <w:tc>
          <w:tcPr>
            <w:tcW w:w="1984" w:type="dxa"/>
          </w:tcPr>
          <w:p w14:paraId="6C55B680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Hazen值(目测)</w:t>
            </w:r>
          </w:p>
        </w:tc>
        <w:tc>
          <w:tcPr>
            <w:tcW w:w="2410" w:type="dxa"/>
          </w:tcPr>
          <w:p w14:paraId="2F473DA5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色度计测得Hazen值</w:t>
            </w:r>
          </w:p>
        </w:tc>
      </w:tr>
      <w:tr w:rsidR="00D11AF7" w14:paraId="6F216C97" w14:textId="77777777">
        <w:trPr>
          <w:jc w:val="center"/>
        </w:trPr>
        <w:tc>
          <w:tcPr>
            <w:tcW w:w="1384" w:type="dxa"/>
          </w:tcPr>
          <w:p w14:paraId="417945EC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磺酸1</w:t>
            </w:r>
          </w:p>
        </w:tc>
        <w:tc>
          <w:tcPr>
            <w:tcW w:w="1985" w:type="dxa"/>
          </w:tcPr>
          <w:p w14:paraId="647C3624" w14:textId="77777777" w:rsidR="00D11AF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20.2</w:t>
            </w:r>
          </w:p>
        </w:tc>
        <w:tc>
          <w:tcPr>
            <w:tcW w:w="1984" w:type="dxa"/>
          </w:tcPr>
          <w:p w14:paraId="0C35E0E4" w14:textId="77777777" w:rsidR="00D11AF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2410" w:type="dxa"/>
          </w:tcPr>
          <w:p w14:paraId="0A014E31" w14:textId="77777777" w:rsidR="00D11AF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31.5</w:t>
            </w:r>
          </w:p>
        </w:tc>
      </w:tr>
      <w:tr w:rsidR="00D11AF7" w14:paraId="0DD958B4" w14:textId="77777777">
        <w:trPr>
          <w:jc w:val="center"/>
        </w:trPr>
        <w:tc>
          <w:tcPr>
            <w:tcW w:w="1384" w:type="dxa"/>
          </w:tcPr>
          <w:p w14:paraId="704FBEEF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磺酸2</w:t>
            </w:r>
          </w:p>
        </w:tc>
        <w:tc>
          <w:tcPr>
            <w:tcW w:w="1985" w:type="dxa"/>
          </w:tcPr>
          <w:p w14:paraId="3E5CCE2F" w14:textId="77777777" w:rsidR="00D11AF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13.3</w:t>
            </w:r>
          </w:p>
        </w:tc>
        <w:tc>
          <w:tcPr>
            <w:tcW w:w="1984" w:type="dxa"/>
          </w:tcPr>
          <w:p w14:paraId="095EC88E" w14:textId="77777777" w:rsidR="00D11AF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2410" w:type="dxa"/>
          </w:tcPr>
          <w:p w14:paraId="14409D25" w14:textId="77777777" w:rsidR="00D11AF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21.8</w:t>
            </w:r>
          </w:p>
        </w:tc>
      </w:tr>
      <w:tr w:rsidR="00D11AF7" w14:paraId="2688A89C" w14:textId="77777777">
        <w:trPr>
          <w:jc w:val="center"/>
        </w:trPr>
        <w:tc>
          <w:tcPr>
            <w:tcW w:w="1384" w:type="dxa"/>
          </w:tcPr>
          <w:p w14:paraId="662CB712" w14:textId="77777777" w:rsidR="00D11AF7" w:rsidRDefault="00000000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磺酸3</w:t>
            </w:r>
          </w:p>
        </w:tc>
        <w:tc>
          <w:tcPr>
            <w:tcW w:w="1985" w:type="dxa"/>
          </w:tcPr>
          <w:p w14:paraId="5C782AE5" w14:textId="77777777" w:rsidR="00D11AF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21.1</w:t>
            </w:r>
          </w:p>
        </w:tc>
        <w:tc>
          <w:tcPr>
            <w:tcW w:w="1984" w:type="dxa"/>
          </w:tcPr>
          <w:p w14:paraId="0912689D" w14:textId="77777777" w:rsidR="00D11AF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2410" w:type="dxa"/>
          </w:tcPr>
          <w:p w14:paraId="22440536" w14:textId="77777777" w:rsidR="00D11AF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33.5</w:t>
            </w:r>
          </w:p>
        </w:tc>
      </w:tr>
    </w:tbl>
    <w:p w14:paraId="63B920CB" w14:textId="77777777" w:rsidR="00D11AF7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四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标准中如果涉及专利</w:t>
      </w:r>
    </w:p>
    <w:p w14:paraId="502BE775" w14:textId="77777777" w:rsidR="00D11AF7" w:rsidRDefault="00000000">
      <w:pPr>
        <w:adjustRightInd w:val="0"/>
        <w:snapToGrid w:val="0"/>
        <w:ind w:firstLineChars="200" w:firstLine="420"/>
        <w:rPr>
          <w:rFonts w:ascii="宋体"/>
          <w:szCs w:val="21"/>
          <w:highlight w:val="yellow"/>
        </w:rPr>
      </w:pPr>
      <w:r>
        <w:rPr>
          <w:rFonts w:ascii="宋体" w:hint="eastAsia"/>
          <w:szCs w:val="21"/>
        </w:rPr>
        <w:t>本标准中不涉及专利问题。</w:t>
      </w:r>
    </w:p>
    <w:p w14:paraId="3F5B59EE" w14:textId="77777777" w:rsidR="00D11AF7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五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预期达到的社会效益等情况、对产业发展的作用等情况</w:t>
      </w:r>
    </w:p>
    <w:p w14:paraId="2E95E4EA" w14:textId="77777777" w:rsidR="00D11AF7" w:rsidRDefault="0000000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本标准在修订过程中做了市场商品的数据调研，力求产品质量和性能特性的有机结合，为该类产品的生产企业提供一个技术创新、转化、扩散的平台，进而达到引导产业技术进步的目的。本标准注重了产品对人体和环境的安全性；加强了与相关标准之间的一致性，以便于提高采标率。</w:t>
      </w:r>
    </w:p>
    <w:p w14:paraId="477BBC99" w14:textId="77777777" w:rsidR="00D11AF7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六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采用国际标准和国外先进标准情况</w:t>
      </w:r>
    </w:p>
    <w:p w14:paraId="70FF2062" w14:textId="77777777" w:rsidR="00D11AF7" w:rsidRDefault="00000000">
      <w:pPr>
        <w:ind w:firstLineChars="200" w:firstLine="420"/>
      </w:pPr>
      <w:r>
        <w:rPr>
          <w:rFonts w:hint="eastAsia"/>
        </w:rPr>
        <w:t>本标准无相关国际标准。</w:t>
      </w:r>
    </w:p>
    <w:p w14:paraId="068A3189" w14:textId="77777777" w:rsidR="00D11AF7" w:rsidRDefault="00000000">
      <w:pPr>
        <w:ind w:firstLineChars="200" w:firstLine="420"/>
      </w:pPr>
      <w:r>
        <w:rPr>
          <w:rFonts w:hint="eastAsia"/>
        </w:rPr>
        <w:t>本标准制定过程中未测试国外的样品。</w:t>
      </w:r>
    </w:p>
    <w:p w14:paraId="7E9B17D4" w14:textId="77777777" w:rsidR="00D11AF7" w:rsidRDefault="00000000">
      <w:pPr>
        <w:ind w:firstLineChars="200" w:firstLine="420"/>
      </w:pPr>
      <w:r>
        <w:rPr>
          <w:rFonts w:hint="eastAsia"/>
        </w:rPr>
        <w:t>本标准水平为国内先进水平。</w:t>
      </w:r>
    </w:p>
    <w:p w14:paraId="1EEE0FA9" w14:textId="77777777" w:rsidR="00D11AF7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七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与现行相关法律、法规、规章及相关标准，特别是强制性标准的协调性</w:t>
      </w:r>
    </w:p>
    <w:p w14:paraId="2DDB92BF" w14:textId="77777777" w:rsidR="00D11AF7" w:rsidRDefault="00000000">
      <w:pPr>
        <w:ind w:firstLineChars="200" w:firstLine="428"/>
        <w:rPr>
          <w:rFonts w:ascii="宋体" w:hAnsi="宋体" w:hint="eastAsia"/>
          <w:spacing w:val="2"/>
        </w:rPr>
      </w:pPr>
      <w:r>
        <w:rPr>
          <w:rFonts w:ascii="宋体" w:hAnsi="宋体" w:hint="eastAsia"/>
          <w:spacing w:val="2"/>
        </w:rPr>
        <w:t>本标准与现行相关法律、法规、规章及相关标准协调一致。</w:t>
      </w:r>
    </w:p>
    <w:p w14:paraId="5B9986BF" w14:textId="77777777" w:rsidR="00D11AF7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八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重大分歧意见的处理经过和依据</w:t>
      </w:r>
    </w:p>
    <w:p w14:paraId="2BD333AA" w14:textId="77777777" w:rsidR="00D11AF7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无。</w:t>
      </w:r>
    </w:p>
    <w:p w14:paraId="6071D846" w14:textId="77777777" w:rsidR="00D11AF7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九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标准性质的建议说明</w:t>
      </w:r>
    </w:p>
    <w:p w14:paraId="0A82D544" w14:textId="77777777" w:rsidR="00D11AF7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int="eastAsia"/>
          <w:kern w:val="0"/>
          <w:szCs w:val="21"/>
        </w:rPr>
        <w:t>建议本标准的性质为推荐性国家标准。</w:t>
      </w:r>
    </w:p>
    <w:p w14:paraId="583C5164" w14:textId="77777777" w:rsidR="00D11AF7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贯彻标准的要求和措施建议</w:t>
      </w:r>
    </w:p>
    <w:p w14:paraId="1D0B524E" w14:textId="77777777" w:rsidR="00D11AF7" w:rsidRDefault="00000000">
      <w:pPr>
        <w:ind w:firstLineChars="200" w:firstLine="420"/>
        <w:rPr>
          <w:rFonts w:ascii="宋体"/>
          <w:kern w:val="0"/>
          <w:szCs w:val="21"/>
        </w:rPr>
      </w:pPr>
      <w:r>
        <w:rPr>
          <w:rFonts w:hint="eastAsia"/>
        </w:rPr>
        <w:t>建议本标准批准发布</w:t>
      </w:r>
      <w:r>
        <w:t>6</w:t>
      </w:r>
      <w:r>
        <w:rPr>
          <w:rFonts w:hint="eastAsia"/>
        </w:rPr>
        <w:t>个月后实施。</w:t>
      </w:r>
    </w:p>
    <w:p w14:paraId="5661402B" w14:textId="77777777" w:rsidR="00D11AF7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十一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废止现行相关标准的建议</w:t>
      </w:r>
    </w:p>
    <w:p w14:paraId="6BE7968C" w14:textId="77777777" w:rsidR="00D11AF7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本标准发布实施后，代替</w:t>
      </w:r>
      <w:r>
        <w:rPr>
          <w:rFonts w:hint="eastAsia"/>
          <w:szCs w:val="21"/>
        </w:rPr>
        <w:t>GB/T 8447-2008</w:t>
      </w:r>
      <w:r>
        <w:rPr>
          <w:rFonts w:ascii="宋体" w:hAnsi="宋体" w:hint="eastAsia"/>
          <w:kern w:val="0"/>
          <w:szCs w:val="21"/>
        </w:rPr>
        <w:t>。</w:t>
      </w:r>
    </w:p>
    <w:p w14:paraId="2E876C66" w14:textId="77777777" w:rsidR="00D11AF7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其它应予说明的事项</w:t>
      </w:r>
    </w:p>
    <w:p w14:paraId="1C56627E" w14:textId="77777777" w:rsidR="00D11AF7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无</w:t>
      </w:r>
    </w:p>
    <w:p w14:paraId="390D42A8" w14:textId="77777777" w:rsidR="00D11AF7" w:rsidRDefault="00D11AF7">
      <w:pPr>
        <w:ind w:firstLineChars="200" w:firstLine="420"/>
        <w:rPr>
          <w:rFonts w:ascii="宋体" w:hAnsi="宋体" w:hint="eastAsia"/>
        </w:rPr>
      </w:pPr>
    </w:p>
    <w:p w14:paraId="4CC2FA6D" w14:textId="77777777" w:rsidR="00D11AF7" w:rsidRDefault="00D11AF7">
      <w:pPr>
        <w:ind w:firstLineChars="200" w:firstLine="420"/>
        <w:rPr>
          <w:rFonts w:ascii="宋体" w:hAnsi="宋体" w:hint="eastAsia"/>
        </w:rPr>
      </w:pPr>
    </w:p>
    <w:p w14:paraId="6F0E07CE" w14:textId="77777777" w:rsidR="00D11AF7" w:rsidRDefault="00000000">
      <w:pPr>
        <w:adjustRightInd w:val="0"/>
        <w:snapToGrid w:val="0"/>
        <w:ind w:firstLine="420"/>
        <w:jc w:val="righ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标准编制小组</w:t>
      </w:r>
    </w:p>
    <w:p w14:paraId="084E4C5F" w14:textId="23A15464" w:rsidR="00D11AF7" w:rsidRDefault="00000000">
      <w:pPr>
        <w:adjustRightInd w:val="0"/>
        <w:snapToGrid w:val="0"/>
        <w:ind w:firstLine="420"/>
        <w:jc w:val="right"/>
        <w:rPr>
          <w:b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/>
          <w:szCs w:val="21"/>
        </w:rPr>
        <w:t>02</w:t>
      </w:r>
      <w:r>
        <w:rPr>
          <w:rFonts w:ascii="宋体" w:hAnsi="宋体" w:hint="eastAsia"/>
          <w:szCs w:val="21"/>
        </w:rPr>
        <w:t>5年</w:t>
      </w:r>
      <w:r w:rsidR="002A47F4"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月</w:t>
      </w:r>
    </w:p>
    <w:sectPr w:rsidR="00D11AF7">
      <w:headerReference w:type="default" r:id="rId9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6AE16" w14:textId="77777777" w:rsidR="00346C1F" w:rsidRDefault="00346C1F">
      <w:r>
        <w:separator/>
      </w:r>
    </w:p>
  </w:endnote>
  <w:endnote w:type="continuationSeparator" w:id="0">
    <w:p w14:paraId="4F5255E1" w14:textId="77777777" w:rsidR="00346C1F" w:rsidRDefault="00346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2C9BC" w14:textId="77777777" w:rsidR="00346C1F" w:rsidRDefault="00346C1F">
      <w:r>
        <w:separator/>
      </w:r>
    </w:p>
  </w:footnote>
  <w:footnote w:type="continuationSeparator" w:id="0">
    <w:p w14:paraId="1A742203" w14:textId="77777777" w:rsidR="00346C1F" w:rsidRDefault="00346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8D8D9" w14:textId="77777777" w:rsidR="00D11AF7" w:rsidRDefault="00D11AF7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B13CC"/>
    <w:multiLevelType w:val="singleLevel"/>
    <w:tmpl w:val="1E9B13CC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3ECB6073"/>
    <w:multiLevelType w:val="singleLevel"/>
    <w:tmpl w:val="3ECB60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66246944">
    <w:abstractNumId w:val="1"/>
  </w:num>
  <w:num w:numId="2" w16cid:durableId="440105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g2OTI4YjU4Mzk1Y2MyMTgwMGY5NGRjMDBhNmE0ZjYifQ=="/>
  </w:docVars>
  <w:rsids>
    <w:rsidRoot w:val="00C306B1"/>
    <w:rsid w:val="00027097"/>
    <w:rsid w:val="00030C9C"/>
    <w:rsid w:val="00032780"/>
    <w:rsid w:val="000908BD"/>
    <w:rsid w:val="000B1577"/>
    <w:rsid w:val="000D74A7"/>
    <w:rsid w:val="000E427C"/>
    <w:rsid w:val="000E6833"/>
    <w:rsid w:val="001069D9"/>
    <w:rsid w:val="00144052"/>
    <w:rsid w:val="00160B19"/>
    <w:rsid w:val="00192088"/>
    <w:rsid w:val="001A7789"/>
    <w:rsid w:val="001D30AD"/>
    <w:rsid w:val="001D34C7"/>
    <w:rsid w:val="001E7002"/>
    <w:rsid w:val="001F3D31"/>
    <w:rsid w:val="00224F90"/>
    <w:rsid w:val="0025291D"/>
    <w:rsid w:val="00261E33"/>
    <w:rsid w:val="002627F3"/>
    <w:rsid w:val="0028027E"/>
    <w:rsid w:val="002825D8"/>
    <w:rsid w:val="002A47F4"/>
    <w:rsid w:val="002C7C97"/>
    <w:rsid w:val="002D7DEF"/>
    <w:rsid w:val="002F3A9E"/>
    <w:rsid w:val="0031031B"/>
    <w:rsid w:val="00314308"/>
    <w:rsid w:val="00314D54"/>
    <w:rsid w:val="003371BE"/>
    <w:rsid w:val="00346C1F"/>
    <w:rsid w:val="003715D0"/>
    <w:rsid w:val="003824D9"/>
    <w:rsid w:val="003B1B44"/>
    <w:rsid w:val="003B38B4"/>
    <w:rsid w:val="003C17F7"/>
    <w:rsid w:val="003D54AD"/>
    <w:rsid w:val="003F53D7"/>
    <w:rsid w:val="003F7664"/>
    <w:rsid w:val="00401C6C"/>
    <w:rsid w:val="004026AF"/>
    <w:rsid w:val="00404548"/>
    <w:rsid w:val="00421781"/>
    <w:rsid w:val="004639BE"/>
    <w:rsid w:val="004655C9"/>
    <w:rsid w:val="00481680"/>
    <w:rsid w:val="004947D8"/>
    <w:rsid w:val="004F0308"/>
    <w:rsid w:val="00516179"/>
    <w:rsid w:val="00520C73"/>
    <w:rsid w:val="0052550D"/>
    <w:rsid w:val="00543CA6"/>
    <w:rsid w:val="00550B2A"/>
    <w:rsid w:val="00560A3D"/>
    <w:rsid w:val="0057072D"/>
    <w:rsid w:val="00586481"/>
    <w:rsid w:val="00592F2D"/>
    <w:rsid w:val="005B43DC"/>
    <w:rsid w:val="005D48CC"/>
    <w:rsid w:val="005E7DF4"/>
    <w:rsid w:val="005F0170"/>
    <w:rsid w:val="005F2A32"/>
    <w:rsid w:val="00616F91"/>
    <w:rsid w:val="00617573"/>
    <w:rsid w:val="0066457C"/>
    <w:rsid w:val="00671E8C"/>
    <w:rsid w:val="00695F80"/>
    <w:rsid w:val="006C0F75"/>
    <w:rsid w:val="006C2E13"/>
    <w:rsid w:val="006C3B15"/>
    <w:rsid w:val="006D4642"/>
    <w:rsid w:val="006E4F81"/>
    <w:rsid w:val="006E6198"/>
    <w:rsid w:val="006F580C"/>
    <w:rsid w:val="006F62C3"/>
    <w:rsid w:val="00726C9B"/>
    <w:rsid w:val="0074060C"/>
    <w:rsid w:val="007527D3"/>
    <w:rsid w:val="00760A93"/>
    <w:rsid w:val="00785399"/>
    <w:rsid w:val="0078648A"/>
    <w:rsid w:val="007A419E"/>
    <w:rsid w:val="007A69BD"/>
    <w:rsid w:val="007B007E"/>
    <w:rsid w:val="007B456D"/>
    <w:rsid w:val="007D2DDE"/>
    <w:rsid w:val="00812863"/>
    <w:rsid w:val="00847C1B"/>
    <w:rsid w:val="00862325"/>
    <w:rsid w:val="00873DCD"/>
    <w:rsid w:val="008C61D1"/>
    <w:rsid w:val="008D289C"/>
    <w:rsid w:val="008E0326"/>
    <w:rsid w:val="008F6C3A"/>
    <w:rsid w:val="008F7312"/>
    <w:rsid w:val="009050A4"/>
    <w:rsid w:val="00932406"/>
    <w:rsid w:val="009420DA"/>
    <w:rsid w:val="009617B5"/>
    <w:rsid w:val="00962DF7"/>
    <w:rsid w:val="009653AB"/>
    <w:rsid w:val="009659AE"/>
    <w:rsid w:val="0097411C"/>
    <w:rsid w:val="00976075"/>
    <w:rsid w:val="009832B4"/>
    <w:rsid w:val="009A05A4"/>
    <w:rsid w:val="009A63C9"/>
    <w:rsid w:val="009D175F"/>
    <w:rsid w:val="009D3016"/>
    <w:rsid w:val="009D6630"/>
    <w:rsid w:val="009E0F33"/>
    <w:rsid w:val="009E2BB1"/>
    <w:rsid w:val="009E3392"/>
    <w:rsid w:val="009F69F9"/>
    <w:rsid w:val="00A05D31"/>
    <w:rsid w:val="00A062ED"/>
    <w:rsid w:val="00A12031"/>
    <w:rsid w:val="00A31FB1"/>
    <w:rsid w:val="00A34D47"/>
    <w:rsid w:val="00A37FEA"/>
    <w:rsid w:val="00A40582"/>
    <w:rsid w:val="00A540FB"/>
    <w:rsid w:val="00A627AB"/>
    <w:rsid w:val="00A873B9"/>
    <w:rsid w:val="00AC390C"/>
    <w:rsid w:val="00AC3E35"/>
    <w:rsid w:val="00AD7E93"/>
    <w:rsid w:val="00AF5167"/>
    <w:rsid w:val="00AF6912"/>
    <w:rsid w:val="00B17E2E"/>
    <w:rsid w:val="00B24BBC"/>
    <w:rsid w:val="00B5154D"/>
    <w:rsid w:val="00B931E8"/>
    <w:rsid w:val="00BA5E70"/>
    <w:rsid w:val="00BB7183"/>
    <w:rsid w:val="00BC22B1"/>
    <w:rsid w:val="00BC23C6"/>
    <w:rsid w:val="00BD12C6"/>
    <w:rsid w:val="00BD3A16"/>
    <w:rsid w:val="00BF4BC1"/>
    <w:rsid w:val="00C01756"/>
    <w:rsid w:val="00C05829"/>
    <w:rsid w:val="00C22F41"/>
    <w:rsid w:val="00C234FE"/>
    <w:rsid w:val="00C306B1"/>
    <w:rsid w:val="00C45211"/>
    <w:rsid w:val="00C475AC"/>
    <w:rsid w:val="00C5154B"/>
    <w:rsid w:val="00C53FF0"/>
    <w:rsid w:val="00C66ED7"/>
    <w:rsid w:val="00C761E1"/>
    <w:rsid w:val="00C81224"/>
    <w:rsid w:val="00C85D36"/>
    <w:rsid w:val="00C863A4"/>
    <w:rsid w:val="00C949D4"/>
    <w:rsid w:val="00CC7CC8"/>
    <w:rsid w:val="00CE6CC2"/>
    <w:rsid w:val="00D10E44"/>
    <w:rsid w:val="00D1112A"/>
    <w:rsid w:val="00D11AF7"/>
    <w:rsid w:val="00D749A2"/>
    <w:rsid w:val="00D8354D"/>
    <w:rsid w:val="00DB049B"/>
    <w:rsid w:val="00DB2837"/>
    <w:rsid w:val="00DB5765"/>
    <w:rsid w:val="00DC1B67"/>
    <w:rsid w:val="00DD2500"/>
    <w:rsid w:val="00DE708A"/>
    <w:rsid w:val="00DF31F2"/>
    <w:rsid w:val="00DF4678"/>
    <w:rsid w:val="00E13C58"/>
    <w:rsid w:val="00E17954"/>
    <w:rsid w:val="00E3691B"/>
    <w:rsid w:val="00E676D6"/>
    <w:rsid w:val="00E70B31"/>
    <w:rsid w:val="00E955AB"/>
    <w:rsid w:val="00EB2F1D"/>
    <w:rsid w:val="00EE367D"/>
    <w:rsid w:val="00EE5D18"/>
    <w:rsid w:val="00EF2E6F"/>
    <w:rsid w:val="00F12F6D"/>
    <w:rsid w:val="00F353E9"/>
    <w:rsid w:val="00F40F42"/>
    <w:rsid w:val="00F673DD"/>
    <w:rsid w:val="00FA79B7"/>
    <w:rsid w:val="00FC2C0C"/>
    <w:rsid w:val="00FF0308"/>
    <w:rsid w:val="04955F75"/>
    <w:rsid w:val="0AD03779"/>
    <w:rsid w:val="114575D7"/>
    <w:rsid w:val="13E06928"/>
    <w:rsid w:val="1B34121C"/>
    <w:rsid w:val="1E5B4CA1"/>
    <w:rsid w:val="24343488"/>
    <w:rsid w:val="28785C20"/>
    <w:rsid w:val="28C2675F"/>
    <w:rsid w:val="28DF4247"/>
    <w:rsid w:val="33670A4A"/>
    <w:rsid w:val="33CC55CB"/>
    <w:rsid w:val="34CE6FB8"/>
    <w:rsid w:val="3B144E96"/>
    <w:rsid w:val="42E84677"/>
    <w:rsid w:val="43EF27CA"/>
    <w:rsid w:val="4E3A02CF"/>
    <w:rsid w:val="50A02EBD"/>
    <w:rsid w:val="574F24F7"/>
    <w:rsid w:val="58861A98"/>
    <w:rsid w:val="59B9334F"/>
    <w:rsid w:val="5CF55F09"/>
    <w:rsid w:val="5D016A57"/>
    <w:rsid w:val="61970CBD"/>
    <w:rsid w:val="67EA245A"/>
    <w:rsid w:val="6A1747E9"/>
    <w:rsid w:val="6AA656B2"/>
    <w:rsid w:val="6B1F2BEB"/>
    <w:rsid w:val="6C1D2A88"/>
    <w:rsid w:val="6E0B49C4"/>
    <w:rsid w:val="73393CDE"/>
    <w:rsid w:val="73A65012"/>
    <w:rsid w:val="745A1190"/>
    <w:rsid w:val="7A126C95"/>
    <w:rsid w:val="7AD4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C91D02"/>
  <w15:docId w15:val="{208A7607-85BB-4F1D-8562-9BC78022D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line="360" w:lineRule="auto"/>
      <w:outlineLvl w:val="0"/>
    </w:pPr>
    <w:rPr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semiHidden/>
    <w:unhideWhenUsed/>
    <w:qFormat/>
    <w:rPr>
      <w:rFonts w:ascii="Arial" w:eastAsia="黑体" w:hAnsi="Arial"/>
      <w:sz w:val="20"/>
    </w:rPr>
  </w:style>
  <w:style w:type="paragraph" w:styleId="a4">
    <w:name w:val="Balloon Text"/>
    <w:basedOn w:val="a"/>
    <w:link w:val="a5"/>
    <w:autoRedefine/>
    <w:qFormat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段 Char"/>
    <w:link w:val="a9"/>
    <w:autoRedefine/>
    <w:qFormat/>
    <w:rPr>
      <w:rFonts w:ascii="宋体"/>
      <w:sz w:val="21"/>
    </w:rPr>
  </w:style>
  <w:style w:type="paragraph" w:customStyle="1" w:styleId="a9">
    <w:name w:val="段"/>
    <w:link w:val="Char"/>
    <w:autoRedefine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a5">
    <w:name w:val="批注框文本 字符"/>
    <w:basedOn w:val="a0"/>
    <w:link w:val="a4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6071741032371002E-2"/>
          <c:y val="9.4919072615923E-2"/>
          <c:w val="0.74280336832895899"/>
          <c:h val="0.78910104986876595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Sheet1!$C$2</c:f>
              <c:strCache>
                <c:ptCount val="1"/>
                <c:pt idx="0">
                  <c:v>Klett值</c:v>
                </c:pt>
              </c:strCache>
            </c:strRef>
          </c:tx>
          <c:spPr>
            <a:ln w="28575" cap="rnd" cmpd="sng" algn="ctr">
              <a:noFill/>
              <a:prstDash val="solid"/>
              <a:round/>
            </a:ln>
          </c:spPr>
          <c:trendline>
            <c:trendlineType val="linear"/>
            <c:intercept val="0"/>
            <c:dispRSqr val="0"/>
            <c:dispEq val="0"/>
          </c:trendline>
          <c:xVal>
            <c:numRef>
              <c:f>Sheet1!$B$3:$B$9</c:f>
              <c:numCache>
                <c:formatCode>General</c:formatCode>
                <c:ptCount val="7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50</c:v>
                </c:pt>
                <c:pt idx="4">
                  <c:v>80</c:v>
                </c:pt>
                <c:pt idx="5">
                  <c:v>100</c:v>
                </c:pt>
                <c:pt idx="6">
                  <c:v>150</c:v>
                </c:pt>
              </c:numCache>
            </c:numRef>
          </c:xVal>
          <c:yVal>
            <c:numRef>
              <c:f>Sheet1!$C$3:$C$9</c:f>
              <c:numCache>
                <c:formatCode>General</c:formatCode>
                <c:ptCount val="7"/>
                <c:pt idx="0">
                  <c:v>7</c:v>
                </c:pt>
                <c:pt idx="1">
                  <c:v>13</c:v>
                </c:pt>
                <c:pt idx="2">
                  <c:v>19</c:v>
                </c:pt>
                <c:pt idx="3">
                  <c:v>31</c:v>
                </c:pt>
                <c:pt idx="4">
                  <c:v>50</c:v>
                </c:pt>
                <c:pt idx="5">
                  <c:v>63</c:v>
                </c:pt>
                <c:pt idx="6">
                  <c:v>95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720-4618-BABF-5E68AEC678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58378560"/>
        <c:axId val="258379136"/>
      </c:scatterChart>
      <c:valAx>
        <c:axId val="2583785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58379136"/>
        <c:crosses val="autoZero"/>
        <c:crossBetween val="midCat"/>
      </c:valAx>
      <c:valAx>
        <c:axId val="25837913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58378560"/>
        <c:crosses val="autoZero"/>
        <c:crossBetween val="midCat"/>
      </c:valAx>
    </c:plotArea>
    <c:plotVisOnly val="1"/>
    <c:dispBlanksAs val="gap"/>
    <c:showDLblsOverMax val="0"/>
  </c:chart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DBB0A-5B68-485A-A962-8EAE8C70B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1156</Words>
  <Characters>1470</Characters>
  <Application>Microsoft Office Word</Application>
  <DocSecurity>0</DocSecurity>
  <Lines>70</Lines>
  <Paragraphs>87</Paragraphs>
  <ScaleCrop>false</ScaleCrop>
  <Company>微软中国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creator>微软用户</dc:creator>
  <cp:lastModifiedBy>姚晨之</cp:lastModifiedBy>
  <cp:revision>6</cp:revision>
  <dcterms:created xsi:type="dcterms:W3CDTF">2025-08-20T09:14:00Z</dcterms:created>
  <dcterms:modified xsi:type="dcterms:W3CDTF">2025-08-21T06:41:00Z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F69A20A6664B4FB3B561880F17918A2B</vt:lpwstr>
  </property>
</Properties>
</file>